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182" w:rsidRPr="009F2182" w:rsidRDefault="00F7732B" w:rsidP="009F2182">
      <w:pPr>
        <w:jc w:val="center"/>
        <w:rPr>
          <w:b/>
          <w:sz w:val="36"/>
        </w:rPr>
      </w:pPr>
      <w:proofErr w:type="spellStart"/>
      <w:r>
        <w:rPr>
          <w:b/>
          <w:sz w:val="36"/>
        </w:rPr>
        <w:t>ThalesLINK</w:t>
      </w:r>
      <w:proofErr w:type="spellEnd"/>
      <w:r w:rsidR="00BA38C0">
        <w:rPr>
          <w:b/>
          <w:sz w:val="36"/>
        </w:rPr>
        <w:t xml:space="preserve"> </w:t>
      </w:r>
      <w:r w:rsidR="0018130D">
        <w:rPr>
          <w:b/>
          <w:sz w:val="36"/>
        </w:rPr>
        <w:t>Software Release 2.</w:t>
      </w:r>
      <w:r w:rsidR="00CB5FF0">
        <w:rPr>
          <w:b/>
          <w:sz w:val="36"/>
        </w:rPr>
        <w:t>4</w:t>
      </w:r>
      <w:r w:rsidR="008B182D">
        <w:rPr>
          <w:b/>
          <w:sz w:val="36"/>
        </w:rPr>
        <w:t>.0</w:t>
      </w:r>
      <w:r w:rsidR="005E4D9B">
        <w:rPr>
          <w:b/>
          <w:sz w:val="36"/>
        </w:rPr>
        <w:t>.0</w:t>
      </w:r>
      <w:bookmarkStart w:id="0" w:name="_GoBack"/>
      <w:bookmarkEnd w:id="0"/>
    </w:p>
    <w:p w:rsidR="00EC4C16" w:rsidRDefault="008B182D" w:rsidP="00CB5FF0">
      <w:r>
        <w:t>This release</w:t>
      </w:r>
      <w:r w:rsidR="00CB5FF0">
        <w:t xml:space="preserve"> includes two new features:</w:t>
      </w:r>
      <w:r w:rsidR="00EC4C16">
        <w:t xml:space="preserve"> </w:t>
      </w:r>
      <w:proofErr w:type="spellStart"/>
      <w:r w:rsidR="00EC4C16">
        <w:t>ESChat</w:t>
      </w:r>
      <w:proofErr w:type="spellEnd"/>
      <w:r w:rsidR="00EC4C16">
        <w:t xml:space="preserve"> for </w:t>
      </w:r>
      <w:proofErr w:type="spellStart"/>
      <w:r w:rsidR="00EC4C16">
        <w:t>SureLINKs</w:t>
      </w:r>
      <w:proofErr w:type="spellEnd"/>
      <w:r w:rsidR="00CB5FF0">
        <w:t xml:space="preserve"> and GPIO configuration. </w:t>
      </w:r>
      <w:r w:rsidR="00EC4C16" w:rsidRPr="00EC4C16">
        <w:t>Alon</w:t>
      </w:r>
      <w:r w:rsidR="00CB5FF0">
        <w:t xml:space="preserve">g with the release of </w:t>
      </w:r>
      <w:proofErr w:type="spellStart"/>
      <w:r w:rsidR="00CB5FF0">
        <w:t>ESChat</w:t>
      </w:r>
      <w:proofErr w:type="spellEnd"/>
      <w:r w:rsidR="00CB5FF0">
        <w:t xml:space="preserve"> (a </w:t>
      </w:r>
      <w:r w:rsidR="00EC4C16" w:rsidRPr="00EC4C16">
        <w:t>PTT</w:t>
      </w:r>
      <w:r w:rsidR="00CB5FF0">
        <w:t xml:space="preserve"> communication app</w:t>
      </w:r>
      <w:r w:rsidR="00EC4C16" w:rsidRPr="00EC4C16">
        <w:t xml:space="preserve">), is the ability to install, upgrade, and uninstall applications on the </w:t>
      </w:r>
      <w:proofErr w:type="spellStart"/>
      <w:r w:rsidR="00EC4C16" w:rsidRPr="00EC4C16">
        <w:t>SureLINK</w:t>
      </w:r>
      <w:proofErr w:type="spellEnd"/>
      <w:r w:rsidR="00EC4C16" w:rsidRPr="00EC4C16">
        <w:t>. With this release, users are also now able to power GPIO pins or con</w:t>
      </w:r>
      <w:r w:rsidR="00CB5FF0">
        <w:t>figure them as inputs. A defect</w:t>
      </w:r>
      <w:r w:rsidR="00EC4C16" w:rsidRPr="00EC4C16">
        <w:t xml:space="preserve"> preventing users from uploading outdated configuration files was </w:t>
      </w:r>
      <w:r w:rsidR="00CB5FF0">
        <w:t>also addressed.</w:t>
      </w:r>
    </w:p>
    <w:p w:rsidR="00BC7274" w:rsidRPr="00BC7274" w:rsidRDefault="00011762" w:rsidP="00BC7274">
      <w:pPr>
        <w:rPr>
          <w:b/>
          <w:sz w:val="28"/>
          <w:u w:val="single"/>
        </w:rPr>
      </w:pPr>
      <w:r w:rsidRPr="00AA6EDD">
        <w:rPr>
          <w:b/>
          <w:sz w:val="28"/>
          <w:u w:val="single"/>
        </w:rPr>
        <w:t>Feature Additions:</w:t>
      </w:r>
    </w:p>
    <w:p w:rsidR="00011762" w:rsidRPr="009D7534" w:rsidRDefault="00BC7274" w:rsidP="003510CB">
      <w:pPr>
        <w:ind w:left="810" w:hanging="450"/>
        <w:rPr>
          <w:b/>
          <w:lang w:eastAsia="x-none"/>
        </w:rPr>
      </w:pPr>
      <w:proofErr w:type="spellStart"/>
      <w:r>
        <w:rPr>
          <w:b/>
          <w:lang w:eastAsia="x-none"/>
        </w:rPr>
        <w:t>ESChat</w:t>
      </w:r>
      <w:proofErr w:type="spellEnd"/>
      <w:r>
        <w:rPr>
          <w:b/>
          <w:lang w:eastAsia="x-none"/>
        </w:rPr>
        <w:t xml:space="preserve"> and Handset App Configuration</w:t>
      </w:r>
      <w:r w:rsidR="00011762" w:rsidRPr="009D7534">
        <w:rPr>
          <w:b/>
          <w:lang w:eastAsia="x-none"/>
        </w:rPr>
        <w:t>:</w:t>
      </w:r>
      <w:r w:rsidR="00F82CC7">
        <w:rPr>
          <w:b/>
          <w:lang w:eastAsia="x-none"/>
        </w:rPr>
        <w:t xml:space="preserve"> </w:t>
      </w:r>
    </w:p>
    <w:p w:rsidR="00BC7274" w:rsidRPr="00BC7274" w:rsidRDefault="00BC7274" w:rsidP="00BC7274">
      <w:pPr>
        <w:ind w:left="810"/>
        <w:rPr>
          <w:b/>
          <w:lang w:eastAsia="x-none"/>
        </w:rPr>
      </w:pPr>
      <w:proofErr w:type="spellStart"/>
      <w:r>
        <w:rPr>
          <w:lang w:eastAsia="x-none"/>
        </w:rPr>
        <w:t>ESChat</w:t>
      </w:r>
      <w:proofErr w:type="spellEnd"/>
      <w:r>
        <w:rPr>
          <w:lang w:eastAsia="x-none"/>
        </w:rPr>
        <w:t xml:space="preserve"> for </w:t>
      </w:r>
      <w:proofErr w:type="spellStart"/>
      <w:r>
        <w:rPr>
          <w:lang w:eastAsia="x-none"/>
        </w:rPr>
        <w:t>SureLINKs</w:t>
      </w:r>
      <w:proofErr w:type="spellEnd"/>
      <w:r>
        <w:rPr>
          <w:lang w:eastAsia="x-none"/>
        </w:rPr>
        <w:t xml:space="preserve"> is available in this release and is stored on the </w:t>
      </w:r>
      <w:proofErr w:type="spellStart"/>
      <w:r>
        <w:rPr>
          <w:lang w:eastAsia="x-none"/>
        </w:rPr>
        <w:t>ThalesLINK</w:t>
      </w:r>
      <w:proofErr w:type="spellEnd"/>
      <w:r>
        <w:rPr>
          <w:lang w:eastAsia="x-none"/>
        </w:rPr>
        <w:t xml:space="preserve"> terminal. </w:t>
      </w:r>
      <w:proofErr w:type="spellStart"/>
      <w:r w:rsidRPr="00DC1B18">
        <w:rPr>
          <w:lang w:eastAsia="x-none"/>
        </w:rPr>
        <w:t>ESChat</w:t>
      </w:r>
      <w:proofErr w:type="spellEnd"/>
      <w:r w:rsidRPr="00DC1B18">
        <w:rPr>
          <w:lang w:eastAsia="x-none"/>
        </w:rPr>
        <w:t xml:space="preserve"> is a</w:t>
      </w:r>
      <w:r>
        <w:rPr>
          <w:lang w:eastAsia="x-none"/>
        </w:rPr>
        <w:t xml:space="preserve"> First Net approved, </w:t>
      </w:r>
      <w:r w:rsidRPr="00DC1B18">
        <w:rPr>
          <w:lang w:eastAsia="x-none"/>
        </w:rPr>
        <w:t>secure PTT application that includes 1:1, 1</w:t>
      </w:r>
      <w:proofErr w:type="gramStart"/>
      <w:r w:rsidRPr="00DC1B18">
        <w:rPr>
          <w:lang w:eastAsia="x-none"/>
        </w:rPr>
        <w:t>:N</w:t>
      </w:r>
      <w:proofErr w:type="gramEnd"/>
      <w:r w:rsidRPr="00DC1B18">
        <w:rPr>
          <w:lang w:eastAsia="x-none"/>
        </w:rPr>
        <w:t xml:space="preserve"> and group PTT calling, text and image messaging, and real-time location reporting.</w:t>
      </w:r>
      <w:r>
        <w:rPr>
          <w:lang w:eastAsia="x-none"/>
        </w:rPr>
        <w:t xml:space="preserve"> With this feature, the terminal supports the ability to install, upgrade, and uninstall apps contained in the terminal software onto the </w:t>
      </w:r>
      <w:proofErr w:type="spellStart"/>
      <w:r>
        <w:rPr>
          <w:lang w:eastAsia="x-none"/>
        </w:rPr>
        <w:t>SureLINK</w:t>
      </w:r>
      <w:proofErr w:type="spellEnd"/>
      <w:r>
        <w:rPr>
          <w:lang w:eastAsia="x-none"/>
        </w:rPr>
        <w:t xml:space="preserve"> via the Management Portal. </w:t>
      </w:r>
    </w:p>
    <w:p w:rsidR="00261F18" w:rsidRDefault="00BC7274" w:rsidP="004819F9">
      <w:pPr>
        <w:ind w:left="810" w:hanging="450"/>
        <w:rPr>
          <w:lang w:eastAsia="x-none"/>
        </w:rPr>
      </w:pPr>
      <w:r>
        <w:rPr>
          <w:b/>
          <w:lang w:eastAsia="x-none"/>
        </w:rPr>
        <w:t>GPIO User Set Signals</w:t>
      </w:r>
      <w:r w:rsidR="00F82CC7" w:rsidRPr="003368D4">
        <w:rPr>
          <w:b/>
          <w:lang w:eastAsia="x-none"/>
        </w:rPr>
        <w:t>:</w:t>
      </w:r>
      <w:r w:rsidR="00F82CC7">
        <w:rPr>
          <w:lang w:eastAsia="x-none"/>
        </w:rPr>
        <w:t xml:space="preserve"> </w:t>
      </w:r>
    </w:p>
    <w:p w:rsidR="00BC7274" w:rsidRDefault="00BC7274" w:rsidP="00261F18">
      <w:pPr>
        <w:ind w:left="810"/>
        <w:rPr>
          <w:lang w:eastAsia="x-none"/>
        </w:rPr>
      </w:pPr>
      <w:r>
        <w:rPr>
          <w:lang w:eastAsia="x-none"/>
        </w:rPr>
        <w:t>This feature allows users to configure the two GPIO pins on the DB15 connector as either active or input pins. As an active pin, it will be continuously powered with 3.3V; as an input pin, the current signal of the pin can be read as high or low. Pins 6 and 13 can be configured independently. A</w:t>
      </w:r>
      <w:r w:rsidRPr="00105CA9">
        <w:rPr>
          <w:lang w:eastAsia="x-none"/>
        </w:rPr>
        <w:t>n upcoming technical note will detail the electrical connections of this feature.</w:t>
      </w:r>
    </w:p>
    <w:p w:rsidR="003510CB" w:rsidRDefault="00BC7274" w:rsidP="00F734DD">
      <w:pPr>
        <w:ind w:left="810" w:hanging="450"/>
        <w:rPr>
          <w:b/>
          <w:lang w:eastAsia="x-none"/>
        </w:rPr>
      </w:pPr>
      <w:r>
        <w:rPr>
          <w:b/>
          <w:lang w:eastAsia="x-none"/>
        </w:rPr>
        <w:t>Manual Updates:</w:t>
      </w:r>
    </w:p>
    <w:p w:rsidR="00F734DD" w:rsidRDefault="00BC7274" w:rsidP="003510CB">
      <w:pPr>
        <w:ind w:left="810"/>
        <w:rPr>
          <w:lang w:eastAsia="x-none"/>
        </w:rPr>
      </w:pPr>
      <w:r>
        <w:rPr>
          <w:lang w:eastAsia="x-none"/>
        </w:rPr>
        <w:t>All manuals found on the help page have been updated to include new terminal features</w:t>
      </w:r>
      <w:r w:rsidRPr="0079419B">
        <w:rPr>
          <w:lang w:eastAsia="x-none"/>
        </w:rPr>
        <w:t>.</w:t>
      </w:r>
    </w:p>
    <w:p w:rsidR="00AA6EDD" w:rsidRDefault="009516CC" w:rsidP="000E0C00">
      <w:pPr>
        <w:ind w:left="810" w:hanging="810"/>
        <w:rPr>
          <w:b/>
          <w:sz w:val="28"/>
          <w:u w:val="single"/>
        </w:rPr>
      </w:pPr>
      <w:r>
        <w:rPr>
          <w:b/>
          <w:sz w:val="28"/>
          <w:u w:val="single"/>
        </w:rPr>
        <w:t>Irregularities</w:t>
      </w:r>
      <w:r w:rsidR="00AA6EDD" w:rsidRPr="00AA6EDD">
        <w:rPr>
          <w:b/>
          <w:sz w:val="28"/>
          <w:u w:val="single"/>
        </w:rPr>
        <w:t xml:space="preserve"> Fixed:</w:t>
      </w:r>
    </w:p>
    <w:p w:rsidR="00292CA5" w:rsidRDefault="00BC7274" w:rsidP="004B62C6">
      <w:pPr>
        <w:ind w:left="810" w:hanging="450"/>
        <w:rPr>
          <w:lang w:eastAsia="x-none"/>
        </w:rPr>
      </w:pPr>
      <w:r>
        <w:rPr>
          <w:b/>
          <w:lang w:eastAsia="x-none"/>
        </w:rPr>
        <w:t>Configuration files fail to upload (IC-2893</w:t>
      </w:r>
      <w:r w:rsidR="00665D82">
        <w:rPr>
          <w:b/>
          <w:lang w:eastAsia="x-none"/>
        </w:rPr>
        <w:t>)</w:t>
      </w:r>
      <w:r w:rsidR="005F2222">
        <w:rPr>
          <w:b/>
          <w:lang w:eastAsia="x-none"/>
        </w:rPr>
        <w:t>:</w:t>
      </w:r>
      <w:r w:rsidR="00224A5B">
        <w:rPr>
          <w:lang w:eastAsia="x-none"/>
        </w:rPr>
        <w:t xml:space="preserve"> </w:t>
      </w:r>
      <w:r>
        <w:rPr>
          <w:lang w:eastAsia="x-none"/>
        </w:rPr>
        <w:t xml:space="preserve">Errors </w:t>
      </w:r>
      <w:r w:rsidRPr="00105CA9">
        <w:rPr>
          <w:lang w:eastAsia="x-none"/>
        </w:rPr>
        <w:t>in uploading configuration files of older sof</w:t>
      </w:r>
      <w:r>
        <w:rPr>
          <w:lang w:eastAsia="x-none"/>
        </w:rPr>
        <w:t xml:space="preserve">tware releases back to version </w:t>
      </w:r>
      <w:r w:rsidRPr="00105CA9">
        <w:rPr>
          <w:lang w:eastAsia="x-none"/>
        </w:rPr>
        <w:t>have been fixed.</w:t>
      </w:r>
      <w:r>
        <w:rPr>
          <w:lang w:eastAsia="x-none"/>
        </w:rPr>
        <w:t xml:space="preserve"> Configuration files dating back to release 2.1.0.0 are supported.</w:t>
      </w:r>
    </w:p>
    <w:p w:rsidR="00B42ACC" w:rsidRPr="00596EDA" w:rsidRDefault="00BC7274" w:rsidP="00881F6C">
      <w:pPr>
        <w:ind w:left="810" w:hanging="450"/>
        <w:rPr>
          <w:b/>
          <w:lang w:eastAsia="x-none"/>
        </w:rPr>
      </w:pPr>
      <w:r>
        <w:rPr>
          <w:b/>
          <w:lang w:eastAsia="x-none"/>
        </w:rPr>
        <w:t>WAN Ping address default causes errors (IC-2894</w:t>
      </w:r>
      <w:r w:rsidR="00665D82">
        <w:rPr>
          <w:b/>
          <w:lang w:eastAsia="x-none"/>
        </w:rPr>
        <w:t>)</w:t>
      </w:r>
      <w:r w:rsidR="00596EDA" w:rsidRPr="00596EDA">
        <w:rPr>
          <w:b/>
          <w:lang w:eastAsia="x-none"/>
        </w:rPr>
        <w:t xml:space="preserve">: </w:t>
      </w:r>
      <w:r>
        <w:rPr>
          <w:lang w:eastAsia="x-none"/>
        </w:rPr>
        <w:t>The WAN ping address default on older software versions would cause a failed configuration file upload if a user didn’t change it. The default was changed</w:t>
      </w:r>
      <w:r w:rsidRPr="00804773">
        <w:rPr>
          <w:lang w:eastAsia="x-none"/>
        </w:rPr>
        <w:t>.</w:t>
      </w:r>
    </w:p>
    <w:p w:rsidR="00F876B4" w:rsidRDefault="00F876B4" w:rsidP="00675986">
      <w:pPr>
        <w:ind w:left="810" w:hanging="450"/>
        <w:rPr>
          <w:b/>
          <w:lang w:eastAsia="x-none"/>
        </w:rPr>
      </w:pPr>
    </w:p>
    <w:p w:rsidR="00AA6EDD" w:rsidRPr="00647C7E" w:rsidRDefault="006D4C65" w:rsidP="00647C7E">
      <w:pPr>
        <w:rPr>
          <w:b/>
          <w:sz w:val="28"/>
          <w:u w:val="single"/>
        </w:rPr>
      </w:pPr>
      <w:r w:rsidRPr="00647C7E">
        <w:rPr>
          <w:b/>
          <w:sz w:val="28"/>
          <w:u w:val="single"/>
        </w:rPr>
        <w:t>Open Issues:</w:t>
      </w:r>
    </w:p>
    <w:p w:rsidR="00CB5FF0" w:rsidRPr="00CB5FF0" w:rsidRDefault="00CB5FF0" w:rsidP="00CB5FF0">
      <w:pPr>
        <w:ind w:left="810" w:hanging="810"/>
        <w:rPr>
          <w:b/>
          <w:lang w:eastAsia="x-none"/>
        </w:rPr>
      </w:pPr>
      <w:r w:rsidRPr="00CB5FF0">
        <w:rPr>
          <w:b/>
          <w:lang w:eastAsia="x-none"/>
        </w:rPr>
        <w:t>WAN usage:</w:t>
      </w:r>
    </w:p>
    <w:p w:rsidR="00375058" w:rsidRDefault="00375058" w:rsidP="002B39D7">
      <w:pPr>
        <w:ind w:left="810" w:hanging="450"/>
        <w:rPr>
          <w:lang w:eastAsia="x-none"/>
        </w:rPr>
      </w:pPr>
      <w:r>
        <w:rPr>
          <w:b/>
          <w:lang w:eastAsia="x-none"/>
        </w:rPr>
        <w:t>Can’t access WAN via Static routes until it has been assigned as backhaul</w:t>
      </w:r>
      <w:r w:rsidR="00CB5FF0">
        <w:rPr>
          <w:b/>
          <w:lang w:eastAsia="x-none"/>
        </w:rPr>
        <w:t xml:space="preserve"> (IC-2707</w:t>
      </w:r>
      <w:r w:rsidR="00CB5FF0" w:rsidRPr="006F4093">
        <w:rPr>
          <w:b/>
          <w:lang w:eastAsia="x-none"/>
        </w:rPr>
        <w:t xml:space="preserve">): </w:t>
      </w:r>
      <w:r>
        <w:rPr>
          <w:lang w:eastAsia="x-none"/>
        </w:rPr>
        <w:t xml:space="preserve">If the WAN connection is physically unplugged and plugged back in, configured for Least Cost Routing with WAN as primary, and the WAN is configured to use a DHCP address, the terminal gets in a “stuck” state and will never fail over to WAN.  The current work around is to either set the </w:t>
      </w:r>
      <w:r>
        <w:rPr>
          <w:lang w:eastAsia="x-none"/>
        </w:rPr>
        <w:lastRenderedPageBreak/>
        <w:t>WAN up using Static WAN interface, or to boot the terminal with WAN cable plugged in and never remove it.</w:t>
      </w:r>
    </w:p>
    <w:p w:rsidR="00CB5FF0" w:rsidRPr="00CB5FF0" w:rsidRDefault="00CB5FF0" w:rsidP="00CB5FF0">
      <w:pPr>
        <w:ind w:left="810" w:hanging="810"/>
        <w:rPr>
          <w:b/>
          <w:lang w:eastAsia="x-none"/>
        </w:rPr>
      </w:pPr>
      <w:r w:rsidRPr="00CB5FF0">
        <w:rPr>
          <w:b/>
          <w:lang w:eastAsia="x-none"/>
        </w:rPr>
        <w:t>Network:</w:t>
      </w:r>
    </w:p>
    <w:p w:rsidR="00CB5FF0" w:rsidRPr="00CB5FF0" w:rsidRDefault="00CB5FF0" w:rsidP="00CB5FF0">
      <w:pPr>
        <w:ind w:left="810" w:hanging="810"/>
        <w:rPr>
          <w:b/>
          <w:lang w:eastAsia="x-none"/>
        </w:rPr>
      </w:pPr>
      <w:r w:rsidRPr="00CB5FF0">
        <w:rPr>
          <w:b/>
          <w:lang w:eastAsia="x-none"/>
        </w:rPr>
        <w:t xml:space="preserve">Changing Network causes Static Routes and Inbound Routes to be invalid (IC-2895):  </w:t>
      </w:r>
      <w:r w:rsidRPr="00CB5FF0">
        <w:rPr>
          <w:lang w:eastAsia="x-none"/>
        </w:rPr>
        <w:t xml:space="preserve"> When the LAN network is changed, it could cause Static Routes and Inbound rout</w:t>
      </w:r>
      <w:r>
        <w:rPr>
          <w:lang w:eastAsia="x-none"/>
        </w:rPr>
        <w:t>es to then be out of the network</w:t>
      </w:r>
      <w:r w:rsidRPr="00CB5FF0">
        <w:rPr>
          <w:lang w:eastAsia="x-none"/>
        </w:rPr>
        <w:t>. This could potentially cause further conflicts such as failed configuration file uploads. Some validation to check these routes when the network changes will be added.</w:t>
      </w:r>
      <w:r>
        <w:rPr>
          <w:b/>
          <w:lang w:eastAsia="x-none"/>
        </w:rPr>
        <w:t xml:space="preserve"> </w:t>
      </w:r>
    </w:p>
    <w:p w:rsidR="00CB5FF0" w:rsidRDefault="00595F75" w:rsidP="00595F75">
      <w:pPr>
        <w:ind w:left="810" w:hanging="810"/>
        <w:rPr>
          <w:b/>
          <w:lang w:eastAsia="x-none"/>
        </w:rPr>
      </w:pPr>
      <w:r>
        <w:rPr>
          <w:b/>
          <w:lang w:eastAsia="x-none"/>
        </w:rPr>
        <w:t>Processor</w:t>
      </w:r>
      <w:r w:rsidR="00CB5FF0" w:rsidRPr="00CB5FF0">
        <w:rPr>
          <w:b/>
          <w:lang w:eastAsia="x-none"/>
        </w:rPr>
        <w:t xml:space="preserve"> in bad state causes continuous reboots (IC-2886): </w:t>
      </w:r>
      <w:r w:rsidR="00BC7274" w:rsidRPr="0078632E">
        <w:rPr>
          <w:lang w:eastAsia="x-none"/>
        </w:rPr>
        <w:t xml:space="preserve">Currently during start up, a check for </w:t>
      </w:r>
      <w:r w:rsidR="00BC7274">
        <w:rPr>
          <w:lang w:eastAsia="x-none"/>
        </w:rPr>
        <w:t>a processor reset flag</w:t>
      </w:r>
      <w:r w:rsidR="00BC7274" w:rsidRPr="0078632E">
        <w:rPr>
          <w:lang w:eastAsia="x-none"/>
        </w:rPr>
        <w:t xml:space="preserve"> is</w:t>
      </w:r>
      <w:r w:rsidR="00BC7274">
        <w:rPr>
          <w:lang w:eastAsia="x-none"/>
        </w:rPr>
        <w:t xml:space="preserve"> performed. However, if this processor </w:t>
      </w:r>
      <w:r w:rsidR="00BC7274" w:rsidRPr="0078632E">
        <w:rPr>
          <w:lang w:eastAsia="x-none"/>
        </w:rPr>
        <w:t>continues to prompt it needs a reset, a reboot loop</w:t>
      </w:r>
      <w:r w:rsidR="00BC7274">
        <w:rPr>
          <w:lang w:eastAsia="x-none"/>
        </w:rPr>
        <w:t xml:space="preserve"> ensues</w:t>
      </w:r>
      <w:r w:rsidR="00BC7274" w:rsidRPr="0078632E">
        <w:rPr>
          <w:lang w:eastAsia="x-none"/>
        </w:rPr>
        <w:t xml:space="preserve"> </w:t>
      </w:r>
      <w:r w:rsidR="00BC7274">
        <w:rPr>
          <w:lang w:eastAsia="x-none"/>
        </w:rPr>
        <w:t xml:space="preserve">as the terminal is rebooted </w:t>
      </w:r>
      <w:r w:rsidR="00BC7274" w:rsidRPr="0078632E">
        <w:rPr>
          <w:lang w:eastAsia="x-none"/>
        </w:rPr>
        <w:t xml:space="preserve">when receiving this prompt. To address this, only the </w:t>
      </w:r>
      <w:r w:rsidR="00BC7274">
        <w:rPr>
          <w:lang w:eastAsia="x-none"/>
        </w:rPr>
        <w:t>processor</w:t>
      </w:r>
      <w:r w:rsidR="00BC7274" w:rsidRPr="0078632E">
        <w:rPr>
          <w:lang w:eastAsia="x-none"/>
        </w:rPr>
        <w:t xml:space="preserve"> will be reset when the prompt is received.</w:t>
      </w:r>
    </w:p>
    <w:p w:rsidR="009D7534" w:rsidRPr="00011762" w:rsidRDefault="009D7534" w:rsidP="009516CC">
      <w:pPr>
        <w:ind w:left="810" w:hanging="810"/>
        <w:rPr>
          <w:b/>
          <w:lang w:eastAsia="x-none"/>
        </w:rPr>
      </w:pPr>
      <w:r w:rsidRPr="00011762">
        <w:rPr>
          <w:b/>
          <w:lang w:eastAsia="x-none"/>
        </w:rPr>
        <w:t>Handset:</w:t>
      </w:r>
    </w:p>
    <w:p w:rsidR="00BC7274" w:rsidRPr="00BC7274" w:rsidRDefault="006F4093" w:rsidP="00BC7274">
      <w:pPr>
        <w:ind w:left="810" w:hanging="450"/>
        <w:rPr>
          <w:lang w:eastAsia="x-none"/>
        </w:rPr>
      </w:pPr>
      <w:r w:rsidRPr="006F4093">
        <w:rPr>
          <w:b/>
          <w:lang w:eastAsia="x-none"/>
        </w:rPr>
        <w:t xml:space="preserve">Static Addressing not Available on </w:t>
      </w:r>
      <w:proofErr w:type="spellStart"/>
      <w:r w:rsidRPr="006F4093">
        <w:rPr>
          <w:b/>
          <w:lang w:eastAsia="x-none"/>
        </w:rPr>
        <w:t>Surelink</w:t>
      </w:r>
      <w:proofErr w:type="spellEnd"/>
      <w:r w:rsidRPr="006F4093">
        <w:rPr>
          <w:b/>
          <w:lang w:eastAsia="x-none"/>
        </w:rPr>
        <w:t xml:space="preserve"> (</w:t>
      </w:r>
      <w:r w:rsidR="004B7B40" w:rsidRPr="006F4093">
        <w:rPr>
          <w:b/>
          <w:lang w:eastAsia="x-none"/>
        </w:rPr>
        <w:t>IC-</w:t>
      </w:r>
      <w:r w:rsidR="00BC7274">
        <w:rPr>
          <w:b/>
          <w:lang w:eastAsia="x-none"/>
        </w:rPr>
        <w:t>2584</w:t>
      </w:r>
      <w:r w:rsidRPr="006F4093">
        <w:rPr>
          <w:b/>
          <w:lang w:eastAsia="x-none"/>
        </w:rPr>
        <w:t>)</w:t>
      </w:r>
      <w:r w:rsidR="004B7B40" w:rsidRPr="006F4093">
        <w:rPr>
          <w:b/>
          <w:lang w:eastAsia="x-none"/>
        </w:rPr>
        <w:t>:</w:t>
      </w:r>
      <w:r w:rsidR="00BC7274">
        <w:rPr>
          <w:lang w:eastAsia="x-none"/>
        </w:rPr>
        <w:t xml:space="preserve"> </w:t>
      </w:r>
      <w:proofErr w:type="spellStart"/>
      <w:r w:rsidR="00BC7274">
        <w:rPr>
          <w:lang w:eastAsia="x-none"/>
        </w:rPr>
        <w:t>SureLINK</w:t>
      </w:r>
      <w:proofErr w:type="spellEnd"/>
      <w:r w:rsidR="00BC7274">
        <w:rPr>
          <w:lang w:eastAsia="x-none"/>
        </w:rPr>
        <w:t xml:space="preserve"> </w:t>
      </w:r>
      <w:r w:rsidR="004B7B40">
        <w:rPr>
          <w:lang w:eastAsia="x-none"/>
        </w:rPr>
        <w:t xml:space="preserve">supports only </w:t>
      </w:r>
      <w:r w:rsidR="00BD2787">
        <w:rPr>
          <w:lang w:eastAsia="x-none"/>
        </w:rPr>
        <w:t>dynamic</w:t>
      </w:r>
      <w:r w:rsidR="004B7B40">
        <w:rPr>
          <w:lang w:eastAsia="x-none"/>
        </w:rPr>
        <w:t xml:space="preserve"> addressing</w:t>
      </w:r>
      <w:r w:rsidR="000300A8">
        <w:rPr>
          <w:lang w:eastAsia="x-none"/>
        </w:rPr>
        <w:t xml:space="preserve">. </w:t>
      </w:r>
      <w:proofErr w:type="spellStart"/>
      <w:r w:rsidR="004B7B40">
        <w:rPr>
          <w:lang w:eastAsia="x-none"/>
        </w:rPr>
        <w:t>SureLINK</w:t>
      </w:r>
      <w:proofErr w:type="spellEnd"/>
      <w:r w:rsidR="004B7B40">
        <w:rPr>
          <w:lang w:eastAsia="x-none"/>
        </w:rPr>
        <w:t xml:space="preserve"> will not operate unless DHCP is turned on in the terminal.</w:t>
      </w:r>
      <w:r w:rsidR="006C2A02">
        <w:rPr>
          <w:lang w:eastAsia="x-none"/>
        </w:rPr>
        <w:t xml:space="preserve"> See the User’s Manual for the location of DHCP configuration on the Management Portal and the procedure to enable DHCP.</w:t>
      </w:r>
      <w:r w:rsidR="00BC7274">
        <w:rPr>
          <w:lang w:eastAsia="x-none"/>
        </w:rPr>
        <w:t xml:space="preserve"> </w:t>
      </w:r>
      <w:r w:rsidR="00BC7274" w:rsidRPr="00BC7274">
        <w:rPr>
          <w:lang w:eastAsia="x-none"/>
        </w:rPr>
        <w:t xml:space="preserve">For static addressing on the </w:t>
      </w:r>
      <w:proofErr w:type="spellStart"/>
      <w:r w:rsidR="00BC7274" w:rsidRPr="00BC7274">
        <w:rPr>
          <w:lang w:eastAsia="x-none"/>
        </w:rPr>
        <w:t>SureLINK</w:t>
      </w:r>
      <w:proofErr w:type="spellEnd"/>
      <w:r w:rsidR="00BC7274" w:rsidRPr="00BC7274">
        <w:rPr>
          <w:lang w:eastAsia="x-none"/>
        </w:rPr>
        <w:t xml:space="preserve"> handset,</w:t>
      </w:r>
      <w:r w:rsidR="00BC7274">
        <w:rPr>
          <w:lang w:eastAsia="x-none"/>
        </w:rPr>
        <w:t xml:space="preserve"> please</w:t>
      </w:r>
      <w:r w:rsidR="00BC7274" w:rsidRPr="00BC7274">
        <w:rPr>
          <w:lang w:eastAsia="x-none"/>
        </w:rPr>
        <w:t xml:space="preserve"> </w:t>
      </w:r>
      <w:r w:rsidR="00BC7274">
        <w:rPr>
          <w:lang w:eastAsia="x-none"/>
        </w:rPr>
        <w:t>contact Thales</w:t>
      </w:r>
      <w:r w:rsidR="00BC7274" w:rsidRPr="00BC7274">
        <w:rPr>
          <w:lang w:eastAsia="x-none"/>
        </w:rPr>
        <w:t>.</w:t>
      </w:r>
    </w:p>
    <w:p w:rsidR="00780D4B" w:rsidRDefault="00780D4B" w:rsidP="00257E64">
      <w:pPr>
        <w:ind w:left="720"/>
      </w:pPr>
    </w:p>
    <w:sectPr w:rsidR="00780D4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25E" w:rsidRDefault="00A4225E" w:rsidP="008A529E">
      <w:pPr>
        <w:spacing w:after="0" w:line="240" w:lineRule="auto"/>
      </w:pPr>
      <w:r>
        <w:separator/>
      </w:r>
    </w:p>
  </w:endnote>
  <w:endnote w:type="continuationSeparator" w:id="0">
    <w:p w:rsidR="00A4225E" w:rsidRDefault="00A4225E" w:rsidP="008A5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29E" w:rsidRDefault="008A529E">
    <w:pPr>
      <w:pStyle w:val="Footer"/>
    </w:pPr>
    <w:r>
      <w:t>Doc Number 6</w:t>
    </w:r>
    <w:r w:rsidR="004E3F1E">
      <w:t>220161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25E" w:rsidRDefault="00A4225E" w:rsidP="008A529E">
      <w:pPr>
        <w:spacing w:after="0" w:line="240" w:lineRule="auto"/>
      </w:pPr>
      <w:r>
        <w:separator/>
      </w:r>
    </w:p>
  </w:footnote>
  <w:footnote w:type="continuationSeparator" w:id="0">
    <w:p w:rsidR="00A4225E" w:rsidRDefault="00A4225E" w:rsidP="008A52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0"/>
      <w:gridCol w:w="914"/>
      <w:gridCol w:w="1349"/>
      <w:gridCol w:w="1597"/>
    </w:tblGrid>
    <w:tr w:rsidR="005E4D9B" w:rsidRPr="00265D46" w:rsidTr="008A442A">
      <w:tc>
        <w:tcPr>
          <w:tcW w:w="9360" w:type="dxa"/>
          <w:gridSpan w:val="4"/>
          <w:tcBorders>
            <w:top w:val="nil"/>
            <w:left w:val="nil"/>
            <w:bottom w:val="nil"/>
            <w:right w:val="nil"/>
          </w:tcBorders>
          <w:shd w:val="clear" w:color="auto" w:fill="auto"/>
          <w:vAlign w:val="center"/>
        </w:tcPr>
        <w:p w:rsidR="005E4D9B" w:rsidRPr="00265D46" w:rsidRDefault="005E4D9B" w:rsidP="005E4D9B">
          <w:pPr>
            <w:pStyle w:val="Header"/>
            <w:rPr>
              <w:sz w:val="12"/>
              <w:szCs w:val="12"/>
            </w:rPr>
          </w:pPr>
        </w:p>
      </w:tc>
    </w:tr>
    <w:tr w:rsidR="005E4D9B" w:rsidRPr="00265D46" w:rsidTr="008A442A">
      <w:trPr>
        <w:trHeight w:val="91"/>
      </w:trPr>
      <w:tc>
        <w:tcPr>
          <w:tcW w:w="5500" w:type="dxa"/>
          <w:tcBorders>
            <w:top w:val="single" w:sz="4" w:space="0" w:color="auto"/>
            <w:bottom w:val="nil"/>
          </w:tcBorders>
          <w:shd w:val="clear" w:color="auto" w:fill="auto"/>
        </w:tcPr>
        <w:p w:rsidR="005E4D9B" w:rsidRPr="00265D46" w:rsidRDefault="005E4D9B" w:rsidP="005E4D9B">
          <w:pPr>
            <w:pStyle w:val="Header"/>
            <w:rPr>
              <w:sz w:val="12"/>
              <w:szCs w:val="12"/>
            </w:rPr>
          </w:pPr>
          <w:r w:rsidRPr="00265D46">
            <w:rPr>
              <w:sz w:val="12"/>
              <w:szCs w:val="12"/>
            </w:rPr>
            <w:t>Document Name</w:t>
          </w:r>
        </w:p>
      </w:tc>
      <w:tc>
        <w:tcPr>
          <w:tcW w:w="914" w:type="dxa"/>
          <w:tcBorders>
            <w:top w:val="single" w:sz="4" w:space="0" w:color="auto"/>
            <w:bottom w:val="nil"/>
          </w:tcBorders>
          <w:shd w:val="clear" w:color="auto" w:fill="auto"/>
        </w:tcPr>
        <w:p w:rsidR="005E4D9B" w:rsidRPr="00265D46" w:rsidRDefault="005E4D9B" w:rsidP="005E4D9B">
          <w:pPr>
            <w:pStyle w:val="Header"/>
            <w:jc w:val="center"/>
            <w:rPr>
              <w:sz w:val="12"/>
              <w:szCs w:val="12"/>
            </w:rPr>
          </w:pPr>
          <w:r>
            <w:rPr>
              <w:sz w:val="12"/>
              <w:szCs w:val="12"/>
            </w:rPr>
            <w:t>Ver.</w:t>
          </w:r>
        </w:p>
      </w:tc>
      <w:tc>
        <w:tcPr>
          <w:tcW w:w="1349" w:type="dxa"/>
          <w:tcBorders>
            <w:top w:val="single" w:sz="4" w:space="0" w:color="auto"/>
            <w:bottom w:val="nil"/>
          </w:tcBorders>
          <w:shd w:val="clear" w:color="auto" w:fill="auto"/>
        </w:tcPr>
        <w:p w:rsidR="005E4D9B" w:rsidRPr="00265D46" w:rsidRDefault="005E4D9B" w:rsidP="005E4D9B">
          <w:pPr>
            <w:pStyle w:val="Header"/>
            <w:jc w:val="center"/>
            <w:rPr>
              <w:sz w:val="12"/>
              <w:szCs w:val="12"/>
            </w:rPr>
          </w:pPr>
          <w:r w:rsidRPr="00265D46">
            <w:rPr>
              <w:sz w:val="12"/>
              <w:szCs w:val="12"/>
            </w:rPr>
            <w:t>Rev. Date</w:t>
          </w:r>
        </w:p>
      </w:tc>
      <w:tc>
        <w:tcPr>
          <w:tcW w:w="1597" w:type="dxa"/>
          <w:tcBorders>
            <w:top w:val="single" w:sz="4" w:space="0" w:color="auto"/>
            <w:bottom w:val="nil"/>
          </w:tcBorders>
          <w:shd w:val="clear" w:color="auto" w:fill="auto"/>
        </w:tcPr>
        <w:p w:rsidR="005E4D9B" w:rsidRPr="00265D46" w:rsidRDefault="005E4D9B" w:rsidP="005E4D9B">
          <w:pPr>
            <w:pStyle w:val="Header"/>
            <w:rPr>
              <w:sz w:val="12"/>
              <w:szCs w:val="12"/>
            </w:rPr>
          </w:pPr>
          <w:r w:rsidRPr="00265D46">
            <w:rPr>
              <w:sz w:val="12"/>
              <w:szCs w:val="12"/>
            </w:rPr>
            <w:t>Doc. No.</w:t>
          </w:r>
        </w:p>
      </w:tc>
    </w:tr>
    <w:tr w:rsidR="005E4D9B" w:rsidTr="008A442A">
      <w:trPr>
        <w:trHeight w:val="244"/>
      </w:trPr>
      <w:tc>
        <w:tcPr>
          <w:tcW w:w="5500" w:type="dxa"/>
          <w:tcBorders>
            <w:top w:val="nil"/>
          </w:tcBorders>
          <w:shd w:val="clear" w:color="auto" w:fill="auto"/>
        </w:tcPr>
        <w:p w:rsidR="005E4D9B" w:rsidRDefault="005E4D9B" w:rsidP="005E4D9B">
          <w:pPr>
            <w:pStyle w:val="Header"/>
          </w:pPr>
          <w:r>
            <w:t xml:space="preserve">MF350BV, VF350BM, MF200BV and VF200BM </w:t>
          </w:r>
          <w:r w:rsidR="008975F4">
            <w:fldChar w:fldCharType="begin"/>
          </w:r>
          <w:r w:rsidR="008975F4">
            <w:instrText xml:space="preserve"> DOCPROPERTY  Title  \* MERGEFORMAT </w:instrText>
          </w:r>
          <w:r w:rsidR="008975F4">
            <w:fldChar w:fldCharType="separate"/>
          </w:r>
          <w:r>
            <w:t xml:space="preserve">Software Release </w:t>
          </w:r>
          <w:r w:rsidR="008975F4">
            <w:fldChar w:fldCharType="end"/>
          </w:r>
          <w:r>
            <w:t>Document</w:t>
          </w:r>
        </w:p>
      </w:tc>
      <w:tc>
        <w:tcPr>
          <w:tcW w:w="914" w:type="dxa"/>
          <w:tcBorders>
            <w:top w:val="nil"/>
            <w:right w:val="nil"/>
          </w:tcBorders>
          <w:shd w:val="clear" w:color="auto" w:fill="auto"/>
        </w:tcPr>
        <w:p w:rsidR="005E4D9B" w:rsidRDefault="00EC79A8" w:rsidP="005E4D9B">
          <w:pPr>
            <w:pStyle w:val="Header"/>
            <w:jc w:val="center"/>
          </w:pPr>
          <w:r>
            <w:t>1</w:t>
          </w:r>
        </w:p>
      </w:tc>
      <w:tc>
        <w:tcPr>
          <w:tcW w:w="1349" w:type="dxa"/>
          <w:tcBorders>
            <w:top w:val="nil"/>
            <w:left w:val="nil"/>
          </w:tcBorders>
          <w:shd w:val="clear" w:color="auto" w:fill="auto"/>
        </w:tcPr>
        <w:p w:rsidR="005E4D9B" w:rsidRDefault="00EC4C16" w:rsidP="005E4D9B">
          <w:pPr>
            <w:pStyle w:val="Header"/>
            <w:jc w:val="center"/>
          </w:pPr>
          <w:r>
            <w:t>&lt;9</w:t>
          </w:r>
          <w:r w:rsidR="00EC79A8">
            <w:t>/28</w:t>
          </w:r>
          <w:r w:rsidR="005E4D9B">
            <w:t>/22&gt;</w:t>
          </w:r>
        </w:p>
      </w:tc>
      <w:tc>
        <w:tcPr>
          <w:tcW w:w="1597" w:type="dxa"/>
          <w:tcBorders>
            <w:top w:val="nil"/>
          </w:tcBorders>
          <w:shd w:val="clear" w:color="auto" w:fill="auto"/>
        </w:tcPr>
        <w:p w:rsidR="005E4D9B" w:rsidRDefault="008975F4" w:rsidP="008975F4">
          <w:pPr>
            <w:pStyle w:val="Header"/>
          </w:pPr>
          <w:r>
            <w:rPr>
              <w:rFonts w:ascii="Times New Roman" w:hAnsi="Times New Roman"/>
              <w:sz w:val="24"/>
              <w:szCs w:val="24"/>
            </w:rPr>
            <w:t>6221323</w:t>
          </w:r>
        </w:p>
      </w:tc>
    </w:tr>
  </w:tbl>
  <w:p w:rsidR="005E4D9B" w:rsidRDefault="008975F4">
    <w:pPr>
      <w:pStyle w:val="Header"/>
    </w:pPr>
    <w:r>
      <w:rPr>
        <w:noProof/>
      </w:rPr>
      <w:object w:dxaOrig="1440" w:dyaOrig="1440" w14:anchorId="4EC02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6.6pt;margin-top:-43.5pt;width:117pt;height:15.65pt;z-index:251658240;mso-position-horizontal-relative:text;mso-position-vertical-relative:text" o:allowincell="f">
          <v:imagedata r:id="rId1" o:title=""/>
        </v:shape>
        <o:OLEObject Type="Embed" ProgID="MSPhotoEd.3" ShapeID="_x0000_s2049" DrawAspect="Content" ObjectID="_1725870901"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64"/>
    <w:rsid w:val="00004F15"/>
    <w:rsid w:val="00011762"/>
    <w:rsid w:val="000128D3"/>
    <w:rsid w:val="000300A8"/>
    <w:rsid w:val="00056D80"/>
    <w:rsid w:val="0007046E"/>
    <w:rsid w:val="00072B93"/>
    <w:rsid w:val="000766E5"/>
    <w:rsid w:val="00083BB7"/>
    <w:rsid w:val="00085826"/>
    <w:rsid w:val="00086878"/>
    <w:rsid w:val="00087A57"/>
    <w:rsid w:val="000A562A"/>
    <w:rsid w:val="000E0C00"/>
    <w:rsid w:val="000E40DE"/>
    <w:rsid w:val="000F67D6"/>
    <w:rsid w:val="000F760B"/>
    <w:rsid w:val="0010271D"/>
    <w:rsid w:val="00113DA2"/>
    <w:rsid w:val="00122A97"/>
    <w:rsid w:val="00123C88"/>
    <w:rsid w:val="00131381"/>
    <w:rsid w:val="00133A57"/>
    <w:rsid w:val="00143288"/>
    <w:rsid w:val="00144E38"/>
    <w:rsid w:val="00144F13"/>
    <w:rsid w:val="00172AD7"/>
    <w:rsid w:val="001805C8"/>
    <w:rsid w:val="0018130D"/>
    <w:rsid w:val="0019597D"/>
    <w:rsid w:val="00195A39"/>
    <w:rsid w:val="0019784F"/>
    <w:rsid w:val="001C2876"/>
    <w:rsid w:val="001C2A17"/>
    <w:rsid w:val="001C529A"/>
    <w:rsid w:val="001E266C"/>
    <w:rsid w:val="002030E6"/>
    <w:rsid w:val="0020338C"/>
    <w:rsid w:val="0021513B"/>
    <w:rsid w:val="00224A5B"/>
    <w:rsid w:val="00240F0E"/>
    <w:rsid w:val="00240F54"/>
    <w:rsid w:val="002431AA"/>
    <w:rsid w:val="00257E64"/>
    <w:rsid w:val="00261F18"/>
    <w:rsid w:val="00263413"/>
    <w:rsid w:val="00272DC1"/>
    <w:rsid w:val="00276395"/>
    <w:rsid w:val="002769EA"/>
    <w:rsid w:val="002808BC"/>
    <w:rsid w:val="00292CA5"/>
    <w:rsid w:val="00293A31"/>
    <w:rsid w:val="00293DFB"/>
    <w:rsid w:val="002A23E0"/>
    <w:rsid w:val="002A71FF"/>
    <w:rsid w:val="002B0CED"/>
    <w:rsid w:val="002B2DB9"/>
    <w:rsid w:val="002B39D7"/>
    <w:rsid w:val="002C2D3C"/>
    <w:rsid w:val="002D1390"/>
    <w:rsid w:val="002E64D6"/>
    <w:rsid w:val="00302995"/>
    <w:rsid w:val="0030471A"/>
    <w:rsid w:val="00312052"/>
    <w:rsid w:val="003176B1"/>
    <w:rsid w:val="00320302"/>
    <w:rsid w:val="003368D4"/>
    <w:rsid w:val="003440F6"/>
    <w:rsid w:val="003510CB"/>
    <w:rsid w:val="00352AA8"/>
    <w:rsid w:val="003530BE"/>
    <w:rsid w:val="00363DE6"/>
    <w:rsid w:val="00375058"/>
    <w:rsid w:val="00375BF8"/>
    <w:rsid w:val="0039719A"/>
    <w:rsid w:val="003A2EE5"/>
    <w:rsid w:val="003B638E"/>
    <w:rsid w:val="003B7411"/>
    <w:rsid w:val="003C5D7D"/>
    <w:rsid w:val="003D3CD3"/>
    <w:rsid w:val="003F0937"/>
    <w:rsid w:val="003F2877"/>
    <w:rsid w:val="003F5F71"/>
    <w:rsid w:val="00406A6B"/>
    <w:rsid w:val="0041440E"/>
    <w:rsid w:val="004343CF"/>
    <w:rsid w:val="00443A5C"/>
    <w:rsid w:val="00463FAF"/>
    <w:rsid w:val="00467D82"/>
    <w:rsid w:val="0047034C"/>
    <w:rsid w:val="004819F9"/>
    <w:rsid w:val="004822D2"/>
    <w:rsid w:val="004823CD"/>
    <w:rsid w:val="00490AB0"/>
    <w:rsid w:val="004A17A2"/>
    <w:rsid w:val="004A196D"/>
    <w:rsid w:val="004B62C6"/>
    <w:rsid w:val="004B7B40"/>
    <w:rsid w:val="004E3F1E"/>
    <w:rsid w:val="005019B3"/>
    <w:rsid w:val="005104AC"/>
    <w:rsid w:val="00515F9A"/>
    <w:rsid w:val="005400A9"/>
    <w:rsid w:val="005449CD"/>
    <w:rsid w:val="00547C0C"/>
    <w:rsid w:val="00550032"/>
    <w:rsid w:val="005667EF"/>
    <w:rsid w:val="005668DF"/>
    <w:rsid w:val="00572A16"/>
    <w:rsid w:val="00575E37"/>
    <w:rsid w:val="00591D99"/>
    <w:rsid w:val="00594EF3"/>
    <w:rsid w:val="00595F75"/>
    <w:rsid w:val="00596EDA"/>
    <w:rsid w:val="005A0EF0"/>
    <w:rsid w:val="005B36D1"/>
    <w:rsid w:val="005B735E"/>
    <w:rsid w:val="005E4D9B"/>
    <w:rsid w:val="005F2222"/>
    <w:rsid w:val="005F6D88"/>
    <w:rsid w:val="0061309A"/>
    <w:rsid w:val="00622BF9"/>
    <w:rsid w:val="0062439B"/>
    <w:rsid w:val="0063281F"/>
    <w:rsid w:val="00647C7E"/>
    <w:rsid w:val="0065176F"/>
    <w:rsid w:val="0065258C"/>
    <w:rsid w:val="00665A6F"/>
    <w:rsid w:val="00665D82"/>
    <w:rsid w:val="00666043"/>
    <w:rsid w:val="0067210A"/>
    <w:rsid w:val="00675986"/>
    <w:rsid w:val="006C2A02"/>
    <w:rsid w:val="006C3BAE"/>
    <w:rsid w:val="006C4976"/>
    <w:rsid w:val="006D42DD"/>
    <w:rsid w:val="006D4C65"/>
    <w:rsid w:val="006E22CB"/>
    <w:rsid w:val="006E74F9"/>
    <w:rsid w:val="006F24C7"/>
    <w:rsid w:val="006F4093"/>
    <w:rsid w:val="006F60ED"/>
    <w:rsid w:val="006F748C"/>
    <w:rsid w:val="00732263"/>
    <w:rsid w:val="00745921"/>
    <w:rsid w:val="0075070B"/>
    <w:rsid w:val="0075099A"/>
    <w:rsid w:val="00773AAE"/>
    <w:rsid w:val="00776EE7"/>
    <w:rsid w:val="00777CEA"/>
    <w:rsid w:val="00780D4B"/>
    <w:rsid w:val="00787A31"/>
    <w:rsid w:val="00790FCA"/>
    <w:rsid w:val="007928C6"/>
    <w:rsid w:val="007929AB"/>
    <w:rsid w:val="007933A3"/>
    <w:rsid w:val="00793756"/>
    <w:rsid w:val="007B029E"/>
    <w:rsid w:val="007B4ADE"/>
    <w:rsid w:val="007E3B73"/>
    <w:rsid w:val="00801DF5"/>
    <w:rsid w:val="00812D0C"/>
    <w:rsid w:val="00815B39"/>
    <w:rsid w:val="00820C42"/>
    <w:rsid w:val="00835010"/>
    <w:rsid w:val="00863378"/>
    <w:rsid w:val="00881F6C"/>
    <w:rsid w:val="00882637"/>
    <w:rsid w:val="008975F4"/>
    <w:rsid w:val="008A529E"/>
    <w:rsid w:val="008B15F2"/>
    <w:rsid w:val="008B182D"/>
    <w:rsid w:val="008B63CE"/>
    <w:rsid w:val="008E4DEC"/>
    <w:rsid w:val="008E53C8"/>
    <w:rsid w:val="008F0CFF"/>
    <w:rsid w:val="00912A1F"/>
    <w:rsid w:val="00917983"/>
    <w:rsid w:val="00932C41"/>
    <w:rsid w:val="00943815"/>
    <w:rsid w:val="00946B64"/>
    <w:rsid w:val="009516CC"/>
    <w:rsid w:val="00963A43"/>
    <w:rsid w:val="009674D6"/>
    <w:rsid w:val="0097635D"/>
    <w:rsid w:val="00977525"/>
    <w:rsid w:val="00980388"/>
    <w:rsid w:val="009858A6"/>
    <w:rsid w:val="00985DFC"/>
    <w:rsid w:val="00997199"/>
    <w:rsid w:val="009B4E34"/>
    <w:rsid w:val="009C5056"/>
    <w:rsid w:val="009C797A"/>
    <w:rsid w:val="009D166C"/>
    <w:rsid w:val="009D1BFB"/>
    <w:rsid w:val="009D2D56"/>
    <w:rsid w:val="009D6F1D"/>
    <w:rsid w:val="009D746C"/>
    <w:rsid w:val="009D7534"/>
    <w:rsid w:val="009E1A93"/>
    <w:rsid w:val="009F2182"/>
    <w:rsid w:val="009F362E"/>
    <w:rsid w:val="00A07339"/>
    <w:rsid w:val="00A1119B"/>
    <w:rsid w:val="00A125B1"/>
    <w:rsid w:val="00A403FA"/>
    <w:rsid w:val="00A4225E"/>
    <w:rsid w:val="00A42FEF"/>
    <w:rsid w:val="00A55E5D"/>
    <w:rsid w:val="00A75084"/>
    <w:rsid w:val="00A777B3"/>
    <w:rsid w:val="00A82E0E"/>
    <w:rsid w:val="00A92D82"/>
    <w:rsid w:val="00A92F51"/>
    <w:rsid w:val="00A9622A"/>
    <w:rsid w:val="00AA6EDD"/>
    <w:rsid w:val="00AB3BEA"/>
    <w:rsid w:val="00AB7348"/>
    <w:rsid w:val="00AC6C35"/>
    <w:rsid w:val="00AF4872"/>
    <w:rsid w:val="00B079C5"/>
    <w:rsid w:val="00B1295D"/>
    <w:rsid w:val="00B15FA4"/>
    <w:rsid w:val="00B24F6D"/>
    <w:rsid w:val="00B36D69"/>
    <w:rsid w:val="00B42ACC"/>
    <w:rsid w:val="00B43223"/>
    <w:rsid w:val="00B5453A"/>
    <w:rsid w:val="00B56C38"/>
    <w:rsid w:val="00B57509"/>
    <w:rsid w:val="00B61CAE"/>
    <w:rsid w:val="00B66270"/>
    <w:rsid w:val="00B73FD9"/>
    <w:rsid w:val="00B74316"/>
    <w:rsid w:val="00B80A54"/>
    <w:rsid w:val="00BA38C0"/>
    <w:rsid w:val="00BA4C43"/>
    <w:rsid w:val="00BA761D"/>
    <w:rsid w:val="00BB47CE"/>
    <w:rsid w:val="00BB6E09"/>
    <w:rsid w:val="00BC7274"/>
    <w:rsid w:val="00BC7A2E"/>
    <w:rsid w:val="00BD2787"/>
    <w:rsid w:val="00BD49C3"/>
    <w:rsid w:val="00BE41C9"/>
    <w:rsid w:val="00C00A90"/>
    <w:rsid w:val="00C14DE3"/>
    <w:rsid w:val="00C210D4"/>
    <w:rsid w:val="00C2142A"/>
    <w:rsid w:val="00C23614"/>
    <w:rsid w:val="00C355FA"/>
    <w:rsid w:val="00C51218"/>
    <w:rsid w:val="00C60664"/>
    <w:rsid w:val="00C64F78"/>
    <w:rsid w:val="00C678D4"/>
    <w:rsid w:val="00C74603"/>
    <w:rsid w:val="00CA18E2"/>
    <w:rsid w:val="00CB5FF0"/>
    <w:rsid w:val="00CB6C3F"/>
    <w:rsid w:val="00CB7D7C"/>
    <w:rsid w:val="00CC5408"/>
    <w:rsid w:val="00CD0D44"/>
    <w:rsid w:val="00CD3E0A"/>
    <w:rsid w:val="00CE1512"/>
    <w:rsid w:val="00CE3508"/>
    <w:rsid w:val="00CF1BE9"/>
    <w:rsid w:val="00D04666"/>
    <w:rsid w:val="00D0728E"/>
    <w:rsid w:val="00D25140"/>
    <w:rsid w:val="00D3014F"/>
    <w:rsid w:val="00D35A76"/>
    <w:rsid w:val="00D46FDD"/>
    <w:rsid w:val="00D56A40"/>
    <w:rsid w:val="00D96780"/>
    <w:rsid w:val="00D96926"/>
    <w:rsid w:val="00D979C6"/>
    <w:rsid w:val="00DA2F55"/>
    <w:rsid w:val="00DA37C6"/>
    <w:rsid w:val="00DA5E84"/>
    <w:rsid w:val="00DA7932"/>
    <w:rsid w:val="00DB2C69"/>
    <w:rsid w:val="00DC3FB9"/>
    <w:rsid w:val="00DD0019"/>
    <w:rsid w:val="00DE1254"/>
    <w:rsid w:val="00DF758E"/>
    <w:rsid w:val="00E02C35"/>
    <w:rsid w:val="00E11EC7"/>
    <w:rsid w:val="00E15595"/>
    <w:rsid w:val="00E43BAF"/>
    <w:rsid w:val="00E51D33"/>
    <w:rsid w:val="00E576AC"/>
    <w:rsid w:val="00E70BAD"/>
    <w:rsid w:val="00E83561"/>
    <w:rsid w:val="00E92192"/>
    <w:rsid w:val="00EA010A"/>
    <w:rsid w:val="00EC1315"/>
    <w:rsid w:val="00EC4C16"/>
    <w:rsid w:val="00EC79A8"/>
    <w:rsid w:val="00ED0FB3"/>
    <w:rsid w:val="00EE6D9E"/>
    <w:rsid w:val="00EF5588"/>
    <w:rsid w:val="00F03F64"/>
    <w:rsid w:val="00F11892"/>
    <w:rsid w:val="00F14D77"/>
    <w:rsid w:val="00F153BF"/>
    <w:rsid w:val="00F1663A"/>
    <w:rsid w:val="00F16F34"/>
    <w:rsid w:val="00F202C7"/>
    <w:rsid w:val="00F349F3"/>
    <w:rsid w:val="00F45E9B"/>
    <w:rsid w:val="00F532AF"/>
    <w:rsid w:val="00F5596B"/>
    <w:rsid w:val="00F61AA4"/>
    <w:rsid w:val="00F62D3F"/>
    <w:rsid w:val="00F6314B"/>
    <w:rsid w:val="00F734DD"/>
    <w:rsid w:val="00F7732B"/>
    <w:rsid w:val="00F82CC7"/>
    <w:rsid w:val="00F847DC"/>
    <w:rsid w:val="00F8533D"/>
    <w:rsid w:val="00F876B4"/>
    <w:rsid w:val="00F93113"/>
    <w:rsid w:val="00FB6EAC"/>
    <w:rsid w:val="00FB6EC1"/>
    <w:rsid w:val="00FB6FCB"/>
    <w:rsid w:val="00FC242D"/>
    <w:rsid w:val="00FC79CE"/>
    <w:rsid w:val="00FF3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25CC918"/>
  <w15:chartTrackingRefBased/>
  <w15:docId w15:val="{D99581DD-4514-4C74-BFD1-B1602914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9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6D"/>
    <w:rPr>
      <w:rFonts w:ascii="Segoe UI" w:hAnsi="Segoe UI" w:cs="Segoe UI"/>
      <w:sz w:val="18"/>
      <w:szCs w:val="18"/>
    </w:rPr>
  </w:style>
  <w:style w:type="paragraph" w:styleId="Header">
    <w:name w:val="header"/>
    <w:basedOn w:val="Normal"/>
    <w:link w:val="HeaderChar"/>
    <w:uiPriority w:val="99"/>
    <w:unhideWhenUsed/>
    <w:rsid w:val="008A52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29E"/>
  </w:style>
  <w:style w:type="paragraph" w:styleId="Footer">
    <w:name w:val="footer"/>
    <w:basedOn w:val="Normal"/>
    <w:link w:val="FooterChar"/>
    <w:uiPriority w:val="99"/>
    <w:unhideWhenUsed/>
    <w:rsid w:val="008A52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29E"/>
  </w:style>
  <w:style w:type="character" w:styleId="Hyperlink">
    <w:name w:val="Hyperlink"/>
    <w:basedOn w:val="DefaultParagraphFont"/>
    <w:uiPriority w:val="99"/>
    <w:unhideWhenUsed/>
    <w:rsid w:val="005F6D88"/>
    <w:rPr>
      <w:color w:val="0563C1" w:themeColor="hyperlink"/>
      <w:u w:val="single"/>
    </w:rPr>
  </w:style>
  <w:style w:type="character" w:styleId="CommentReference">
    <w:name w:val="annotation reference"/>
    <w:basedOn w:val="DefaultParagraphFont"/>
    <w:uiPriority w:val="99"/>
    <w:semiHidden/>
    <w:unhideWhenUsed/>
    <w:rsid w:val="00882637"/>
    <w:rPr>
      <w:sz w:val="16"/>
      <w:szCs w:val="16"/>
    </w:rPr>
  </w:style>
  <w:style w:type="paragraph" w:styleId="CommentText">
    <w:name w:val="annotation text"/>
    <w:basedOn w:val="Normal"/>
    <w:link w:val="CommentTextChar"/>
    <w:uiPriority w:val="99"/>
    <w:semiHidden/>
    <w:unhideWhenUsed/>
    <w:rsid w:val="00882637"/>
    <w:pPr>
      <w:spacing w:line="240" w:lineRule="auto"/>
    </w:pPr>
    <w:rPr>
      <w:sz w:val="20"/>
      <w:szCs w:val="20"/>
    </w:rPr>
  </w:style>
  <w:style w:type="character" w:customStyle="1" w:styleId="CommentTextChar">
    <w:name w:val="Comment Text Char"/>
    <w:basedOn w:val="DefaultParagraphFont"/>
    <w:link w:val="CommentText"/>
    <w:uiPriority w:val="99"/>
    <w:semiHidden/>
    <w:rsid w:val="00882637"/>
    <w:rPr>
      <w:sz w:val="20"/>
      <w:szCs w:val="20"/>
    </w:rPr>
  </w:style>
  <w:style w:type="paragraph" w:styleId="CommentSubject">
    <w:name w:val="annotation subject"/>
    <w:basedOn w:val="CommentText"/>
    <w:next w:val="CommentText"/>
    <w:link w:val="CommentSubjectChar"/>
    <w:uiPriority w:val="99"/>
    <w:semiHidden/>
    <w:unhideWhenUsed/>
    <w:rsid w:val="00882637"/>
    <w:rPr>
      <w:b/>
      <w:bCs/>
    </w:rPr>
  </w:style>
  <w:style w:type="character" w:customStyle="1" w:styleId="CommentSubjectChar">
    <w:name w:val="Comment Subject Char"/>
    <w:basedOn w:val="CommentTextChar"/>
    <w:link w:val="CommentSubject"/>
    <w:uiPriority w:val="99"/>
    <w:semiHidden/>
    <w:rsid w:val="008826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519206">
      <w:bodyDiv w:val="1"/>
      <w:marLeft w:val="0"/>
      <w:marRight w:val="0"/>
      <w:marTop w:val="0"/>
      <w:marBottom w:val="0"/>
      <w:divBdr>
        <w:top w:val="none" w:sz="0" w:space="0" w:color="auto"/>
        <w:left w:val="none" w:sz="0" w:space="0" w:color="auto"/>
        <w:bottom w:val="none" w:sz="0" w:space="0" w:color="auto"/>
        <w:right w:val="none" w:sz="0" w:space="0" w:color="auto"/>
      </w:divBdr>
    </w:div>
    <w:div w:id="662662695">
      <w:bodyDiv w:val="1"/>
      <w:marLeft w:val="0"/>
      <w:marRight w:val="0"/>
      <w:marTop w:val="0"/>
      <w:marBottom w:val="0"/>
      <w:divBdr>
        <w:top w:val="none" w:sz="0" w:space="0" w:color="auto"/>
        <w:left w:val="none" w:sz="0" w:space="0" w:color="auto"/>
        <w:bottom w:val="none" w:sz="0" w:space="0" w:color="auto"/>
        <w:right w:val="none" w:sz="0" w:space="0" w:color="auto"/>
      </w:divBdr>
    </w:div>
    <w:div w:id="1563905092">
      <w:bodyDiv w:val="1"/>
      <w:marLeft w:val="0"/>
      <w:marRight w:val="0"/>
      <w:marTop w:val="0"/>
      <w:marBottom w:val="0"/>
      <w:divBdr>
        <w:top w:val="none" w:sz="0" w:space="0" w:color="auto"/>
        <w:left w:val="none" w:sz="0" w:space="0" w:color="auto"/>
        <w:bottom w:val="none" w:sz="0" w:space="0" w:color="auto"/>
        <w:right w:val="none" w:sz="0" w:space="0" w:color="auto"/>
      </w:divBdr>
    </w:div>
    <w:div w:id="179971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7442</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Thales Defense and Security Inc</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Steve (Proxy)</dc:creator>
  <cp:keywords/>
  <dc:description/>
  <cp:lastModifiedBy>Campbell, Lena (Proxy)</cp:lastModifiedBy>
  <cp:revision>7</cp:revision>
  <dcterms:created xsi:type="dcterms:W3CDTF">2022-09-19T14:38:00Z</dcterms:created>
  <dcterms:modified xsi:type="dcterms:W3CDTF">2022-09-28T15:49:00Z</dcterms:modified>
</cp:coreProperties>
</file>